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Autospacing="0" w:after="192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  <w:t>大学生科技文化艺术节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Autospacing="0" w:after="192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  <w:t>曲艺（戏曲、相声、话剧团课）大赛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Autospacing="0" w:after="192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  <w:t>活动方案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为深入学习宣传贯彻党的二十大精神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习近平文化思想，自觉传承和弘扬中华优秀传统文化，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教育引导广大团员青年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担负起传播弘扬中华优秀传统文化的职责使命，为赓续中华文脉、推动中华优秀传统文化创造性转化和创新性发展作出新的更大贡献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。特举办我校第二十届大学生科技文化艺术节--曲艺（戏曲、相声、话剧团课）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大赛活动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，具体通知如下：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主办单位：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党委宣传部、党委学生工作部、团委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指导单位：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关心下一代工作委员会、纪检监察室、电子信息工程学院党总支、艺术教育中心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电子信息工程学院团总支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协办单位：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校学生会、大学生社团联合会、电子信息工程学院学生会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left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团心永向党 青春谱华章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/>
        <w:jc w:val="left"/>
        <w:textAlignment w:val="baseline"/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二、活动范围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全体在校学生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/>
        <w:jc w:val="left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三、活动内容及时间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以戏曲、相声、话剧、团课表演形式，创新团课方法，加强思想引领。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决赛时间：4月19日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初赛由各学院（中心）、学生组织于3月21日-4月10日自行组织，确定1个优秀作品，推荐的作品以视频形式于4月10日18:00前发送给联系人，经评委遴选后，确定决赛剧目。决赛以现场表演形式进行展示。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联系人：任亮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联系方式：18595331251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活动官方咨询交流群：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2773680" cy="2703830"/>
            <wp:effectExtent l="0" t="0" r="7620" b="1270"/>
            <wp:docPr id="1" name="图片 1" descr="888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888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/>
        <w:jc w:val="left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四、活动地点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初赛比赛地点由各学院（中心）、学生组织自行安排。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决赛地点：大学术报告厅（如有变动再行通知），现场表演。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/>
        <w:jc w:val="left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五、活动要求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围绕“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团心永向党 青春谱华章”主题，深入学习贯彻二十大精神和习近平文化思想，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结合自身所见所闻，认识感受，讴歌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我国新时代快速发展的成果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传承和弘扬中华优秀传统文化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。每个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作品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表演时间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8至15分钟。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2.各学院（中心）、学生组织先行组织比赛，推选1个优秀曲艺节目（戏曲、相声、话剧）进入决赛，进入决赛的剧目按照要求填写报名表(见附1)。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3.活动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形式:表达形式多样，主题鲜明，观点明确，具有创新性和时代感。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4.大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赛顺序采用抽签制，节目按抽签顺序依次上台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表演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/>
        <w:jc w:val="left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六、奖项设置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一等奖：1个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二等奖：2个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三等奖：3个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优秀奖：若干个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                     电子信息工程学院团总支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                             2024年3月22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</w:rPr>
        <w:t>附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  <w:t>件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</w:rPr>
        <w:t>参赛者报名表</w:t>
      </w:r>
    </w:p>
    <w:tbl>
      <w:tblPr>
        <w:tblStyle w:val="6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876"/>
        <w:gridCol w:w="1798"/>
        <w:gridCol w:w="1798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8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作品类别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  <w:t>（戏曲、相声、话剧）</w:t>
            </w: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5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A97E7F-4971-4C13-92C7-EFCC35818E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56D11E0-5340-44A1-B8FA-F74976F142A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FF6A289-C6DF-4172-9497-325E5B50847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ADC1052-355B-428F-A5B3-A00F9EF2171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5D97F"/>
    <w:multiLevelType w:val="singleLevel"/>
    <w:tmpl w:val="0045D97F"/>
    <w:lvl w:ilvl="0" w:tentative="0">
      <w:start w:val="1"/>
      <w:numFmt w:val="chineseCounting"/>
      <w:suff w:val="nothing"/>
      <w:lvlText w:val="%1、"/>
      <w:lvlJc w:val="left"/>
      <w:pPr>
        <w:ind w:left="0"/>
      </w:pPr>
      <w:rPr>
        <w:rFonts w:hint="eastAsia"/>
        <w:b/>
        <w:bCs/>
        <w:sz w:val="30"/>
        <w:szCs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GFkMmRhMDY0MDgxYWMzYjI3MDk4YTAxMjU5NWEifQ=="/>
  </w:docVars>
  <w:rsids>
    <w:rsidRoot w:val="67845177"/>
    <w:rsid w:val="03630718"/>
    <w:rsid w:val="089F57C5"/>
    <w:rsid w:val="1B462098"/>
    <w:rsid w:val="1F2E1589"/>
    <w:rsid w:val="22473833"/>
    <w:rsid w:val="248C7D3E"/>
    <w:rsid w:val="2D8E7AF6"/>
    <w:rsid w:val="2DB86526"/>
    <w:rsid w:val="3141417E"/>
    <w:rsid w:val="338D4004"/>
    <w:rsid w:val="376E0A6D"/>
    <w:rsid w:val="3E547784"/>
    <w:rsid w:val="425F4E1D"/>
    <w:rsid w:val="45EF0A3D"/>
    <w:rsid w:val="48B81A9A"/>
    <w:rsid w:val="4A780C64"/>
    <w:rsid w:val="53B0425C"/>
    <w:rsid w:val="54244390"/>
    <w:rsid w:val="5B0927EA"/>
    <w:rsid w:val="5C7F20C5"/>
    <w:rsid w:val="651B6421"/>
    <w:rsid w:val="670C7632"/>
    <w:rsid w:val="67845177"/>
    <w:rsid w:val="6A85762C"/>
    <w:rsid w:val="72E95B98"/>
    <w:rsid w:val="73700BF8"/>
    <w:rsid w:val="7452393E"/>
    <w:rsid w:val="755816B1"/>
    <w:rsid w:val="7609793C"/>
    <w:rsid w:val="7CA74549"/>
    <w:rsid w:val="7EEC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3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829</Words>
  <Characters>853</Characters>
  <Lines>0</Lines>
  <Paragraphs>0</Paragraphs>
  <TotalTime>13</TotalTime>
  <ScaleCrop>false</ScaleCrop>
  <LinksUpToDate>false</LinksUpToDate>
  <CharactersWithSpaces>860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2023-05-05T04:47:00Z</dcterms:created>
  <dc:creator>LIAN.</dc:creator>
  <cp:lastModifiedBy>亮</cp:lastModifiedBy>
  <dcterms:modified xsi:type="dcterms:W3CDTF">2024-03-21T11:46:32Z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9ECF2DDF388946BA94C645695C04B247_13</vt:lpwstr>
  </property>
</Properties>
</file>